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4389120" cy="1097280"/>
            <wp:docPr id="1" name="Picture 1"/>
            <wp:cNvGraphicFramePr>
              <a:graphicFrameLocks noChangeAspect="1"/>
            </wp:cNvGraphicFramePr>
            <a:graphic>
              <a:graphicData uri="http://schemas.openxmlformats.org/drawingml/2006/picture">
                <pic:pic>
                  <pic:nvPicPr>
                    <pic:cNvPr id="0" name="MX-Electrical-Estimating-Transparent.png"/>
                    <pic:cNvPicPr/>
                  </pic:nvPicPr>
                  <pic:blipFill>
                    <a:blip r:embed="rId9"/>
                    <a:stretch>
                      <a:fillRect/>
                    </a:stretch>
                  </pic:blipFill>
                  <pic:spPr>
                    <a:xfrm>
                      <a:off x="0" y="0"/>
                      <a:ext cx="4389120" cy="1097280"/>
                    </a:xfrm>
                    <a:prstGeom prst="rect"/>
                  </pic:spPr>
                </pic:pic>
              </a:graphicData>
            </a:graphic>
          </wp:inline>
        </w:drawing>
      </w:r>
    </w:p>
    <w:p>
      <w:r>
        <w:t>47 Lodge Road, Orrell, Wigan, WN5 7AT | Tel: 07385891411</w:t>
      </w:r>
    </w:p>
    <w:p>
      <w:pPr>
        <w:pStyle w:val="Title"/>
      </w:pPr>
      <w:r>
        <w:t>Demonstration Electrical Tender Review</w:t>
      </w:r>
    </w:p>
    <w:p>
      <w:r>
        <w:t>Fictional demonstration only. This retail refurbishment package and every quantity, rate and finding below are invented to show the review format. This is not a client project, live estimate, design assessment or evidence of an achieved saving.</w:t>
      </w:r>
    </w:p>
    <w:p>
      <w:pPr>
        <w:pStyle w:val="Heading1"/>
      </w:pPr>
      <w:r>
        <w:t>Example package and review basis</w:t>
      </w:r>
    </w:p>
    <w:p>
      <w:r>
        <w:t>Project: Demonstration Retail Unit</w:t>
        <w:br/>
        <w:t>Reference: MX-DEMO-001   Issue: 01</w:t>
        <w:br/>
        <w:t>Review basis: invented lighting layout E101 Rev B, power layout E102 Rev A, specification ES01 Rev A and equipment schedule EQ01 Rev A. Each is a scenario reference; no underlying drawings were supplied.</w:t>
        <w:br/>
        <w:t>Scope: review a fictional contractor estimate for lighting and small power only. Fire alarm, data, HVAC controls, incoming supply and detailed design are excluded.</w:t>
      </w:r>
    </w:p>
    <w:p>
      <w:pPr>
        <w:pStyle w:val="Heading1"/>
      </w:pPr>
      <w:r>
        <w:t>Review conclusion</w:t>
      </w:r>
    </w:p>
    <w:p>
      <w:r>
        <w:t>The illustrative return should not be treated as ready for submission. A luminaire count discrepancy, omitted socket points and an unconfirmed containment route require reconciliation. The commercial effect below is an example calculation; it does not prove an omission on a real project.</w:t>
      </w:r>
    </w:p>
    <w:tbl>
      <w:tblPr>
        <w:tblW w:type="auto" w:w="0"/>
        <w:tblLayout w:type="fixed"/>
        <w:tblLook w:firstColumn="1" w:firstRow="1" w:lastColumn="0" w:lastRow="0" w:noHBand="0" w:noVBand="1" w:val="04A0"/>
      </w:tblPr>
      <w:tblGrid>
        <w:gridCol w:w="4320"/>
        <w:gridCol w:w="3744"/>
        <w:gridCol w:w="2016"/>
      </w:tblGrid>
      <w:tr>
        <w:trPr>
          <w:cantSplit/>
          <w:tblHeader/>
        </w:trPr>
        <w:tc>
          <w:tcPr>
            <w:tcW w:type="dxa" w:w="4320"/>
            <w:vAlign w:val="center"/>
            <w:shd w:fill="102331"/>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pPr>
            <w:r>
              <w:rPr>
                <w:b/>
                <w:color w:val="FFFFFF"/>
                <w:sz w:val="21"/>
              </w:rPr>
              <w:t>Illustrative adjustment</w:t>
            </w:r>
          </w:p>
        </w:tc>
        <w:tc>
          <w:tcPr>
            <w:tcW w:type="dxa" w:w="3744"/>
            <w:vAlign w:val="center"/>
            <w:shd w:fill="102331"/>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jc w:val="center"/>
            </w:pPr>
            <w:r>
              <w:rPr>
                <w:b/>
                <w:color w:val="FFFFFF"/>
                <w:sz w:val="21"/>
              </w:rPr>
              <w:t>Basis</w:t>
            </w:r>
          </w:p>
        </w:tc>
        <w:tc>
          <w:tcPr>
            <w:tcW w:type="dxa" w:w="2016"/>
            <w:vAlign w:val="center"/>
            <w:shd w:fill="102331"/>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jc w:val="center"/>
            </w:pPr>
            <w:r>
              <w:rPr>
                <w:b/>
                <w:color w:val="FFFFFF"/>
                <w:sz w:val="21"/>
              </w:rPr>
              <w:t>Amount</w:t>
            </w:r>
          </w:p>
        </w:tc>
      </w:tr>
      <w:tr>
        <w:trPr>
          <w:cantSplit/>
        </w:trPr>
        <w:tc>
          <w:tcPr>
            <w:tcW w:type="dxa" w:w="4320"/>
            <w:vAlign w:val="center"/>
            <w:shd w:fill="F2F5F6"/>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pPr>
            <w:r>
              <w:rPr>
                <w:sz w:val="21"/>
              </w:rPr>
              <w:t>Lighting count difference</w:t>
            </w:r>
          </w:p>
        </w:tc>
        <w:tc>
          <w:tcPr>
            <w:tcW w:type="dxa" w:w="3744"/>
            <w:vAlign w:val="center"/>
            <w:shd w:fill="F2F5F6"/>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jc w:val="center"/>
            </w:pPr>
            <w:r>
              <w:rPr>
                <w:sz w:val="21"/>
              </w:rPr>
              <w:t>4 fittings × £95 material allowance</w:t>
            </w:r>
          </w:p>
        </w:tc>
        <w:tc>
          <w:tcPr>
            <w:tcW w:type="dxa" w:w="2016"/>
            <w:vAlign w:val="center"/>
            <w:shd w:fill="F2F5F6"/>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jc w:val="center"/>
            </w:pPr>
            <w:r>
              <w:rPr>
                <w:sz w:val="21"/>
              </w:rPr>
              <w:t>£380</w:t>
            </w:r>
          </w:p>
        </w:tc>
      </w:tr>
      <w:tr>
        <w:trPr>
          <w:cantSplit/>
        </w:trPr>
        <w:tc>
          <w:tcPr>
            <w:tcW w:type="dxa" w:w="4320"/>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pPr>
            <w:r>
              <w:rPr>
                <w:sz w:val="21"/>
              </w:rPr>
              <w:t>Socket point difference</w:t>
            </w:r>
          </w:p>
        </w:tc>
        <w:tc>
          <w:tcPr>
            <w:tcW w:type="dxa" w:w="3744"/>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jc w:val="center"/>
            </w:pPr>
            <w:r>
              <w:rPr>
                <w:sz w:val="21"/>
              </w:rPr>
              <w:t>6 points × £40 material allowance</w:t>
            </w:r>
          </w:p>
        </w:tc>
        <w:tc>
          <w:tcPr>
            <w:tcW w:type="dxa" w:w="2016"/>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jc w:val="center"/>
            </w:pPr>
            <w:r>
              <w:rPr>
                <w:sz w:val="21"/>
              </w:rPr>
              <w:t>£240</w:t>
            </w:r>
          </w:p>
        </w:tc>
      </w:tr>
      <w:tr>
        <w:trPr>
          <w:cantSplit/>
        </w:trPr>
        <w:tc>
          <w:tcPr>
            <w:tcW w:type="dxa" w:w="4320"/>
            <w:vAlign w:val="center"/>
            <w:shd w:fill="F2F5F6"/>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pPr>
            <w:r>
              <w:rPr>
                <w:sz w:val="21"/>
              </w:rPr>
              <w:t>Illustrative material subtotal</w:t>
            </w:r>
          </w:p>
        </w:tc>
        <w:tc>
          <w:tcPr>
            <w:tcW w:type="dxa" w:w="3744"/>
            <w:vAlign w:val="center"/>
            <w:shd w:fill="F2F5F6"/>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jc w:val="center"/>
            </w:pPr>
            <w:r>
              <w:rPr>
                <w:sz w:val="21"/>
              </w:rPr>
              <w:t>£380 + £240</w:t>
            </w:r>
          </w:p>
        </w:tc>
        <w:tc>
          <w:tcPr>
            <w:tcW w:type="dxa" w:w="2016"/>
            <w:vAlign w:val="center"/>
            <w:shd w:fill="F2F5F6"/>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jc w:val="center"/>
            </w:pPr>
            <w:r>
              <w:rPr>
                <w:sz w:val="21"/>
              </w:rPr>
              <w:t>£620</w:t>
            </w:r>
          </w:p>
        </w:tc>
      </w:tr>
      <w:tr>
        <w:trPr>
          <w:cantSplit/>
        </w:trPr>
        <w:tc>
          <w:tcPr>
            <w:tcW w:type="dxa" w:w="4320"/>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pPr>
            <w:r>
              <w:rPr>
                <w:sz w:val="21"/>
              </w:rPr>
              <w:t>Labour placeholder</w:t>
            </w:r>
          </w:p>
        </w:tc>
        <w:tc>
          <w:tcPr>
            <w:tcW w:type="dxa" w:w="3744"/>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jc w:val="center"/>
            </w:pPr>
            <w:r>
              <w:rPr>
                <w:sz w:val="21"/>
              </w:rPr>
              <w:t>10 hours × £30</w:t>
            </w:r>
          </w:p>
        </w:tc>
        <w:tc>
          <w:tcPr>
            <w:tcW w:type="dxa" w:w="2016"/>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jc w:val="center"/>
            </w:pPr>
            <w:r>
              <w:rPr>
                <w:sz w:val="21"/>
              </w:rPr>
              <w:t>£300</w:t>
            </w:r>
          </w:p>
        </w:tc>
      </w:tr>
      <w:tr>
        <w:trPr>
          <w:cantSplit/>
        </w:trPr>
        <w:tc>
          <w:tcPr>
            <w:tcW w:type="dxa" w:w="4320"/>
            <w:vAlign w:val="center"/>
            <w:shd w:fill="F2F5F6"/>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pPr>
            <w:r>
              <w:rPr>
                <w:sz w:val="21"/>
              </w:rPr>
              <w:t>Illustrative direct addition</w:t>
            </w:r>
          </w:p>
        </w:tc>
        <w:tc>
          <w:tcPr>
            <w:tcW w:type="dxa" w:w="3744"/>
            <w:vAlign w:val="center"/>
            <w:shd w:fill="F2F5F6"/>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jc w:val="center"/>
            </w:pPr>
            <w:r>
              <w:rPr>
                <w:sz w:val="21"/>
              </w:rPr>
              <w:t>£620 + £300</w:t>
            </w:r>
          </w:p>
        </w:tc>
        <w:tc>
          <w:tcPr>
            <w:tcW w:type="dxa" w:w="2016"/>
            <w:vAlign w:val="center"/>
            <w:shd w:fill="F2F5F6"/>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jc w:val="center"/>
            </w:pPr>
            <w:r>
              <w:rPr>
                <w:sz w:val="21"/>
              </w:rPr>
              <w:t>£920</w:t>
            </w:r>
          </w:p>
        </w:tc>
      </w:tr>
    </w:tbl>
    <w:p>
      <w:r>
        <w:t>All rates are arbitrary, exclude VAT and are not market benchmarks. No overhead, profit, risk or programme allowance is included. Do not copy these figures into a live tender.</w:t>
      </w:r>
    </w:p>
    <w:p>
      <w:r>
        <w:br w:type="page"/>
      </w:r>
    </w:p>
    <w:p>
      <w:pPr>
        <w:pStyle w:val="Heading1"/>
      </w:pPr>
      <w:r>
        <w:t>Example finding and clarification register</w:t>
      </w:r>
    </w:p>
    <w:p>
      <w:pPr>
        <w:pStyle w:val="Heading1"/>
      </w:pPr>
      <w:r>
        <w:t>F01 Lighting count</w:t>
      </w:r>
    </w:p>
    <w:p>
      <w:r>
        <w:t>Scenario observation: layout count 24; estimate count 20. Action: reconcile the fitting schedule, symbols and revisions before pricing. Owner: estimator. Priority: before submission. Status: open. Evidence required on a real job: marked-up take-off and drawing reference.</w:t>
      </w:r>
    </w:p>
    <w:p>
      <w:pPr>
        <w:pStyle w:val="Heading1"/>
      </w:pPr>
      <w:r>
        <w:t>F02 Small power points</w:t>
      </w:r>
    </w:p>
    <w:p>
      <w:r>
        <w:t>Scenario observation: layout contains 18 socket points; estimate contains 12. Action: verify double versus single accessories and whether the points sit inside another package. Owner: estimator. Priority: before submission. Status: open.</w:t>
      </w:r>
    </w:p>
    <w:p>
      <w:pPr>
        <w:pStyle w:val="Heading1"/>
      </w:pPr>
      <w:r>
        <w:t>F03 Containment routes</w:t>
      </w:r>
    </w:p>
    <w:p>
      <w:r>
        <w:t>Scenario observation: containment route and dimensions are unspecified. Action: ask the design team for route, size, segregation and support requirements. Do not assume a measurable quantity from absent information. Owner: contractor to raise an RFI. Status: open.</w:t>
      </w:r>
    </w:p>
    <w:p>
      <w:pPr>
        <w:pStyle w:val="Heading1"/>
      </w:pPr>
      <w:r>
        <w:t>F04 Working hours</w:t>
      </w:r>
    </w:p>
    <w:p>
      <w:r>
        <w:t>Scenario observation: refurbishment may be in an occupied unit. Action: confirm access, isolation windows, phasing and permitted working hours before finalising labour productivity. Owner: contractor commercial team. Status: open.</w:t>
      </w:r>
    </w:p>
    <w:p>
      <w:pPr>
        <w:pStyle w:val="Heading1"/>
      </w:pPr>
      <w:r>
        <w:t>F05 Testing and handover</w:t>
      </w:r>
    </w:p>
    <w:p>
      <w:r>
        <w:t>Scenario observation: estimate has no distinct testing line. Action: establish whether testing, certification, labelling and O and M information are included within other rates. Owner: contractor. Status: open.</w:t>
      </w:r>
    </w:p>
    <w:p>
      <w:pPr>
        <w:pStyle w:val="Heading1"/>
      </w:pPr>
      <w:r>
        <w:t>Example clarification email</w:t>
      </w:r>
    </w:p>
    <w:p>
      <w:r>
        <w:t>Please confirm the issued lighting schedule and whether all 24 scheduled fittings are in the electrical package. Please also confirm the small power scope, containment route and occupied-unit working restrictions. We will record responses against the document register and update the commercial assumptions before final issue.</w:t>
      </w:r>
    </w:p>
    <w:p>
      <w:r>
        <w:br w:type="page"/>
      </w:r>
    </w:p>
    <w:p>
      <w:pPr>
        <w:pStyle w:val="Heading1"/>
      </w:pPr>
      <w:r>
        <w:t>Example issue note and limits</w:t>
      </w:r>
    </w:p>
    <w:p>
      <w:pPr>
        <w:pStyle w:val="Heading1"/>
      </w:pPr>
      <w:r>
        <w:t>Assumptions and exclusions</w:t>
      </w:r>
    </w:p>
    <w:p>
      <w:r>
        <w:t>Any temporary material allowances must be labelled provisional and reconciled to current supplier quotations. Existing services, out-of-hours work, builder’s work and access equipment require an explicit scope decision. No design adequacy, regulatory compliance or installation certification is established by this demonstration.</w:t>
      </w:r>
    </w:p>
    <w:p>
      <w:pPr>
        <w:pStyle w:val="Heading1"/>
      </w:pPr>
      <w:r>
        <w:t>Price reconciliation</w:t>
      </w:r>
    </w:p>
    <w:p>
      <w:r>
        <w:t>Original illustrative package figure: £12,000.</w:t>
        <w:br/>
        <w:t>Illustrative direct addition: £920.</w:t>
        <w:br/>
        <w:t>Reconciled illustrative figure before any further commercial allowances: £12,920.</w:t>
        <w:br/>
        <w:t>The contractor must separately determine overhead, profit, risk, VAT and tender qualifications. This arithmetic is invented and does not represent a recommended sale price.</w:t>
      </w:r>
    </w:p>
    <w:p>
      <w:pPr>
        <w:pStyle w:val="Heading1"/>
      </w:pPr>
      <w:r>
        <w:t>Handover wording</w:t>
      </w:r>
    </w:p>
    <w:p>
      <w:r>
        <w:t>We have reviewed the agreed scenario scope and listed observations and queries for your team. Open items remain unresolved. Confirm the current revisions, supplier quotations and commercial allowances before any tender submission.</w:t>
      </w:r>
    </w:p>
    <w:p>
      <w:pPr>
        <w:pStyle w:val="Heading1"/>
      </w:pPr>
      <w:r>
        <w:t>Turning this into a real review</w:t>
      </w:r>
    </w:p>
    <w:p>
      <w:r>
        <w:t>Supply an authorised drawing and specification pack, addenda, document register, existing estimate, supplier quotations, programme and review brief. Replace every scenario field with evidence-backed records. Record the reviewer, date, source reference and resolution for each finding. Remove the demonstration label only for an actual commissioned report.</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80"/>
      <w:outlineLvl w:val="0"/>
    </w:pPr>
    <w:rPr>
      <w:rFonts w:asciiTheme="majorHAnsi" w:eastAsiaTheme="majorEastAsia" w:hAnsiTheme="majorHAnsi" w:cstheme="majorBidi"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Calibri" w:hAnsi="Calibr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Calibri" w:hAnsi="Calibr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Calibri" w:hAnsi="Calibr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Calibri" w:hAnsi="Calibr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Calibri" w:hAnsi="Calibr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Calibri" w:hAnsi="Calibr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Calibri" w:hAnsi="Calibri"/>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Calibri" w:hAnsi="Calibri"/>
      <w:color w:val="000000"/>
    </w:rPr>
  </w:style>
  <w:style w:type="paragraph" w:styleId="BodyText">
    <w:name w:val="Body Text"/>
    <w:basedOn w:val="Normal"/>
    <w:link w:val="BodyTextChar"/>
    <w:uiPriority w:val="99"/>
    <w:unhideWhenUsed/>
    <w:rsid w:val="00AA1D8D"/>
    <w:pPr>
      <w:spacing w:after="120"/>
    </w:pPr>
    <w:rPr>
      <w:rFonts w:ascii="Calibri" w:hAnsi="Calibri"/>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Calibri" w:hAnsi="Calibri"/>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Calibri" w:hAnsi="Calibri"/>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Calibri" w:hAnsi="Calibri"/>
      <w:color w:val="000000"/>
    </w:rPr>
  </w:style>
  <w:style w:type="paragraph" w:styleId="List2">
    <w:name w:val="List 2"/>
    <w:basedOn w:val="Normal"/>
    <w:uiPriority w:val="99"/>
    <w:unhideWhenUsed/>
    <w:rsid w:val="00326F90"/>
    <w:pPr>
      <w:ind w:left="720" w:hanging="360"/>
      <w:contextualSpacing/>
    </w:pPr>
    <w:rPr>
      <w:rFonts w:ascii="Calibri" w:hAnsi="Calibri"/>
      <w:color w:val="000000"/>
    </w:rPr>
  </w:style>
  <w:style w:type="paragraph" w:styleId="List3">
    <w:name w:val="List 3"/>
    <w:basedOn w:val="Normal"/>
    <w:uiPriority w:val="99"/>
    <w:unhideWhenUsed/>
    <w:rsid w:val="00326F90"/>
    <w:pPr>
      <w:ind w:left="1080" w:hanging="360"/>
      <w:contextualSpacing/>
    </w:pPr>
    <w:rPr>
      <w:rFonts w:ascii="Calibri" w:hAnsi="Calibri"/>
      <w:color w:val="000000"/>
    </w:rPr>
  </w:style>
  <w:style w:type="paragraph" w:styleId="ListBullet">
    <w:name w:val="List Bullet"/>
    <w:basedOn w:val="Normal"/>
    <w:uiPriority w:val="99"/>
    <w:unhideWhenUsed/>
    <w:rsid w:val="00326F90"/>
    <w:pPr>
      <w:numPr>
        <w:numId w:val="1"/>
      </w:numPr>
      <w:contextualSpacing/>
    </w:pPr>
    <w:rPr>
      <w:rFonts w:ascii="Calibri" w:hAnsi="Calibri"/>
      <w:color w:val="000000"/>
    </w:rPr>
  </w:style>
  <w:style w:type="paragraph" w:styleId="ListBullet2">
    <w:name w:val="List Bullet 2"/>
    <w:basedOn w:val="Normal"/>
    <w:uiPriority w:val="99"/>
    <w:unhideWhenUsed/>
    <w:rsid w:val="00326F90"/>
    <w:pPr>
      <w:numPr>
        <w:numId w:val="2"/>
      </w:numPr>
      <w:contextualSpacing/>
    </w:pPr>
    <w:rPr>
      <w:rFonts w:ascii="Calibri" w:hAnsi="Calibri"/>
      <w:color w:val="000000"/>
    </w:rPr>
  </w:style>
  <w:style w:type="paragraph" w:styleId="ListBullet3">
    <w:name w:val="List Bullet 3"/>
    <w:basedOn w:val="Normal"/>
    <w:uiPriority w:val="99"/>
    <w:unhideWhenUsed/>
    <w:rsid w:val="00326F90"/>
    <w:pPr>
      <w:numPr>
        <w:numId w:val="3"/>
      </w:numPr>
      <w:contextualSpacing/>
    </w:pPr>
    <w:rPr>
      <w:rFonts w:ascii="Calibri" w:hAnsi="Calibri"/>
      <w:color w:val="000000"/>
    </w:rPr>
  </w:style>
  <w:style w:type="paragraph" w:styleId="ListNumber">
    <w:name w:val="List Number"/>
    <w:basedOn w:val="Normal"/>
    <w:uiPriority w:val="99"/>
    <w:unhideWhenUsed/>
    <w:rsid w:val="00326F90"/>
    <w:pPr>
      <w:numPr>
        <w:numId w:val="5"/>
      </w:numPr>
      <w:contextualSpacing/>
    </w:pPr>
    <w:rPr>
      <w:rFonts w:ascii="Calibri" w:hAnsi="Calibri"/>
      <w:color w:val="000000"/>
    </w:rPr>
  </w:style>
  <w:style w:type="paragraph" w:styleId="ListNumber2">
    <w:name w:val="List Number 2"/>
    <w:basedOn w:val="Normal"/>
    <w:uiPriority w:val="99"/>
    <w:unhideWhenUsed/>
    <w:rsid w:val="0029639D"/>
    <w:pPr>
      <w:numPr>
        <w:numId w:val="6"/>
      </w:numPr>
      <w:contextualSpacing/>
    </w:pPr>
    <w:rPr>
      <w:rFonts w:ascii="Calibri" w:hAnsi="Calibri"/>
      <w:color w:val="000000"/>
    </w:rPr>
  </w:style>
  <w:style w:type="paragraph" w:styleId="ListNumber3">
    <w:name w:val="List Number 3"/>
    <w:basedOn w:val="Normal"/>
    <w:uiPriority w:val="99"/>
    <w:unhideWhenUsed/>
    <w:rsid w:val="0029639D"/>
    <w:pPr>
      <w:numPr>
        <w:numId w:val="7"/>
      </w:numPr>
      <w:contextualSpacing/>
    </w:pPr>
    <w:rPr>
      <w:rFonts w:ascii="Calibri" w:hAnsi="Calibri"/>
      <w:color w:val="000000"/>
    </w:rPr>
  </w:style>
  <w:style w:type="paragraph" w:styleId="ListContinue">
    <w:name w:val="List Continue"/>
    <w:basedOn w:val="Normal"/>
    <w:uiPriority w:val="99"/>
    <w:unhideWhenUsed/>
    <w:rsid w:val="0029639D"/>
    <w:pPr>
      <w:spacing w:after="120"/>
      <w:ind w:left="360"/>
      <w:contextualSpacing/>
    </w:pPr>
    <w:rPr>
      <w:rFonts w:ascii="Calibri" w:hAnsi="Calibri"/>
      <w:color w:val="000000"/>
    </w:rPr>
  </w:style>
  <w:style w:type="paragraph" w:styleId="ListContinue2">
    <w:name w:val="List Continue 2"/>
    <w:basedOn w:val="Normal"/>
    <w:uiPriority w:val="99"/>
    <w:unhideWhenUsed/>
    <w:rsid w:val="0029639D"/>
    <w:pPr>
      <w:spacing w:after="120"/>
      <w:ind w:left="720"/>
      <w:contextualSpacing/>
    </w:pPr>
    <w:rPr>
      <w:rFonts w:ascii="Calibri" w:hAnsi="Calibri"/>
      <w:color w:val="000000"/>
    </w:rPr>
  </w:style>
  <w:style w:type="paragraph" w:styleId="ListContinue3">
    <w:name w:val="List Continue 3"/>
    <w:basedOn w:val="Normal"/>
    <w:uiPriority w:val="99"/>
    <w:unhideWhenUsed/>
    <w:rsid w:val="0029639D"/>
    <w:pPr>
      <w:spacing w:after="120"/>
      <w:ind w:left="1080"/>
      <w:contextualSpacing/>
    </w:pPr>
    <w:rPr>
      <w:rFonts w:ascii="Calibri" w:hAnsi="Calibri"/>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Calibri" w:hAnsi="Calibri"/>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Calibri" w:hAnsi="Calibri"/>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Calibri" w:hAnsi="Calibri"/>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Demonstration Electrical Tender Review</dc:title>
  <dc:subject/>
  <dc:creator>MX Electrical Estimating</dc:creator>
  <cp:keywords/>
  <dc:description>generated by python-docx</dc:description>
  <cp:lastModifiedBy/>
  <cp:revision>1</cp:revision>
  <dcterms:created xsi:type="dcterms:W3CDTF">2013-12-23T23:15:00Z</dcterms:created>
  <dcterms:modified xsi:type="dcterms:W3CDTF">2013-12-23T23:15:00Z</dcterms:modified>
  <cp:category/>
</cp:coreProperties>
</file>